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DFDF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DFDF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DFDFE"/>
        </w:rPr>
        <w:t>江苏省职业教育教学质量提升行动方案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DFDF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DFDFE"/>
        </w:rPr>
        <w:t>（2026—2030年）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为深入贯彻党的二十大和二十届历次全会精神和全国、全省教育大会精神，全方位提升办学能力，全领域优化教学生态，全</w:t>
      </w:r>
      <w:bookmarkStart w:id="6" w:name="_GoBack"/>
      <w:bookmarkEnd w:id="6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面提高职业教育教学质量，培养更多高素质技术技能人才、能工巧匠、大国工匠，特制定本方案。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一、聚力学生综合素养全面提升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2312" w:cs="Times New Roman"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楷体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_GB2312" w:cs="Times New Roman"/>
          <w:color w:val="auto"/>
          <w:sz w:val="32"/>
          <w:szCs w:val="32"/>
        </w:rPr>
        <w:t>增强思政育人实效。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坚持不懈用习近平新时代中国特色社会主义思想铸魂育人，实施新时代立德树人工程，深入推进党的创新理论进教材、进课堂、进头脑。完善党政领导干部进校园开展思想政治教育长效机制。依托</w:t>
      </w:r>
      <w:bookmarkStart w:id="0" w:name="OLE_LINK2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高校思政课教学指导委员会</w:t>
      </w:r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与省职业学校思政课建设协作组，加强中高职思政课建设。研制省职业学校思政课示范课堂建设与评价标准，分学段培育100门左右精品课程和200个左右教学案例，建设思政教学共享资源库。持续推进思政课程与课程思政同向同行。打造具有江苏特色的职业教育“大思政课”品牌，教育引导广大学生感党恩、听党话、跟党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2312" w:cs="Times New Roman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楷体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_GB2312" w:cs="Times New Roman"/>
          <w:color w:val="auto"/>
          <w:sz w:val="32"/>
          <w:szCs w:val="32"/>
        </w:rPr>
        <w:t>实施五育融合创新行动。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深入实施素质教育，健全德智体美劳融合培养体系，促进学生健康成长、全面发展。深入落实国家学生体质强健计划，中职学生每天综合体育活动时间不低于2小时，高职学生一般不低于1小时；全面实施美育浸润行动，常态化开展艺术实践活动，推动美育与专业教育深度融合，帮助学生掌握1—2项文体特长。落实《江苏省职业院校劳动教育实施指南（试行）》，深入开展日常生活劳动、生产劳动、服务性劳动等教育。进一步深化关爱青少年心理健康“润心行动”，健全健康教育、监测预警、咨询服务与干预处置“四位一体”工作体系。深入开展文明校园、文明宿舍创建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color w:val="auto"/>
          <w:sz w:val="32"/>
          <w:szCs w:val="32"/>
        </w:rPr>
        <w:t>3.激励学生刻苦学习。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坚持把学风建设摆在突出位置，引导学生坚定理想信念，增强自信自立自强的精神力量，笃行技能成才、技能报国之路。着力营造学习环境与氛围，激励学生多读书、精技能、深思考、善创新。注重学生兴趣与特长培养，增强学习内生动力和持久韧性，全面提升学习品质。加快构建朋辈互助学习支持体系，强化团队协作、展示交流与互鉴互促。优化课程学分设置与毕业要求，完善学业动态监测与预警帮扶体系，支持每位学生通过勤奋学习顺利完成学业。鼓励更多学生拓展学习广度、探究学习深度、提升学习效度，增强创新能力、协作能力、解决问题能力和终身学习能力。探索“荣誉学位”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</w:t>
      </w:r>
      <w:bookmarkStart w:id="1" w:name="OLE_LINK3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全面提升专业建设水平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color w:val="auto"/>
          <w:sz w:val="32"/>
          <w:szCs w:val="32"/>
        </w:rPr>
        <w:t>4.提高专业与产业适配度。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建立和完善以产业需求为导向的专业设置与动态调整机制，推动专业链（群）深度融入产业链、创新链。聚焦区域重点产业和战略性新兴产业，编制技能人才需求清单，构建产业人才需求预测预警体系，定期发布专业设置指导目录。紧密跟踪新技术新产品新场景大规模应用，大力开发新兴紧缺专业。积极培育未来产业相关专业。加强“微专业”建设，提高专业快速响应产业变化能力。加快推动专业向数智化、绿色化、高端化转型升级，打造200个“人工智能+”高水平专业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color w:val="auto"/>
          <w:sz w:val="32"/>
          <w:szCs w:val="32"/>
        </w:rPr>
        <w:t>5.构建能力导向的模块化课程体系。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以提升职业综合能力为目标，校企协同构建与专业人才培养目标相匹配、与学生成长发展相适应的课程体系。严格按照国家规定开齐开足开好公共基础课程，推进公共基础课程与专业课程相融通。实施“高技能人才集群培养计划”，分专业领域组织高水平职业学校与行业领军企业紧密合作，依据岗位任务编制专业能力图谱、开发人才培养方案、更新专业课程模块。</w:t>
      </w:r>
      <w:bookmarkStart w:id="2" w:name="OLE_LINK6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加大课程资源共建共享力度。推进中高本课程衔接贯通。对接真实生产场景与典型工作任务，推动专业课程项目化改造升级，开发 1000 个左右生产性教学项目。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color w:val="auto"/>
          <w:sz w:val="32"/>
          <w:szCs w:val="32"/>
        </w:rPr>
        <w:t>6.开发适教利学的优秀教材。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坚持服务教学、育人为本原则，推动教材从“教本”向“学本”转变，提升教材的适用性、实用性和可读性。建立学校、行业企业、教研机构等多方参与的教材开发机制，鼓励校企混编团队将真实项目、典型任务、工艺流程、大赛成果转化为教学资源。组织开发活页式、工作手册式等新形态教材和生动形象、互动性强的数字教材。遴选确定1000种左右符合职业教育规律、体现江苏产业特色的省级规划教材。完善教材审查、选用机制，确保选用教材内容新、质量高、适用性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color w:val="auto"/>
          <w:sz w:val="32"/>
          <w:szCs w:val="32"/>
        </w:rPr>
        <w:t>7.建设开放共享的实训基地。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坚持产教融合、共建共享、持续迭代原则，构建基于专业群的实践教学体系。推广“校中厂”“厂中校”模式，校企共建场景真实、设施先进、开放共享的产教融合实践中心，联合开发并推广典型生产性实训项目。运用5G+、人工智能、大数据等技术，建设数字远程实训平台、虚拟仿真实训基地和数字孪生实训系统。推动建立学校间、校企间基地共建共享机制，依托高水平实训基地建设中试平台，放大优质资源的辐射效应。建设一批省级职业学校实训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三、深化教学改革创新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color w:val="auto"/>
          <w:sz w:val="32"/>
          <w:szCs w:val="32"/>
        </w:rPr>
        <w:t>8.推进人才培养模式改革。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持续深化产教融合、科教融汇，推进教学过程与生产过程、科创过程对接协同，将产业先进技术、优秀文化、创新创造融入教育教学全过程。积极参与“双高协同”试点，深化市域产教联合体、行业产教融合共同体建设，发挥现代产业学院平台功能。全面推进现代学徒制，推动现场工程师培养扩容提质。强化科创育人功能，组织师生团队攻关企业生产技术难题，及时把最新科创成果转化为教学内容。探索中等职业教育小班化教学。对接新技术、新产业、新业态、新模式，优化职业院校技能大赛组织方式与竞赛内容，健全技能大赛与日常教学互促共进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color w:val="auto"/>
          <w:sz w:val="32"/>
          <w:szCs w:val="32"/>
        </w:rPr>
        <w:t>9.打造教学相长幸福课堂。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深刻把握课堂教学是落实立德树人根本任务的关键环节，是人才培养的主渠道和主阵地，大力实施“课堂教学质量提升行动计划”。</w:t>
      </w:r>
      <w:bookmarkStart w:id="3" w:name="OLE_LINK4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推进课堂教学从“以教为中心”向“以学为中心”深刻转变。加快提高学生课堂到课率、抬头率、前排率，提升课堂学习参与度，</w:t>
      </w:r>
      <w:bookmarkEnd w:id="3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引导和激励学生</w:t>
      </w:r>
      <w:bookmarkStart w:id="4" w:name="OLE_LINK1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自主学习、合作学习、探究学习</w:t>
      </w:r>
      <w:bookmarkEnd w:id="4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全面推行项目式、案例式、情境式教学，融合推进知识传授、能力培养与价值引领。密切师生互动交流，增进师生互信共鸣，促进师生共同成长，增强课堂教学的获得感、幸福感。分层分类培育和选树一批教学相长示范课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color w:val="auto"/>
          <w:sz w:val="32"/>
          <w:szCs w:val="32"/>
        </w:rPr>
        <w:t>10.加快教学数智化升级。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推进人工智能赋能职业教育行动。引导学校依托专业垂直领域大模型、课程教学智能体等技术工具，积极探索“师-生-机”协同教学新模式，创新助教、助学、助训、助管、助评、助研应用场景。支持学校建设智慧教室和虚拟仿真实训中心，开展教室及实训室数字化改造，打造精准适配、多元交互、虚实融合的智慧课堂。建设一批集个性学习、教学支持于一体的未来学习中心，推动构建“一站式”数智学生社区，选树一批人工智能赋能教学的典型案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color w:val="auto"/>
          <w:sz w:val="32"/>
          <w:szCs w:val="32"/>
        </w:rPr>
        <w:t>11.深化学业评价改革。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构建以能力为导向的综合性、发展性考核评价体系。改进考核方式，注重解决真实问题的能力测评。强化过程性评价，推进教学评一体化。改进结果评价，开展多维度增值评价和综合评价。运用大数据跟踪学习过程，推动学业评价的数智化转型。完善“以证代考”“以赛代评”等学习成果认定与转换办法。强化评价结果的及时反馈与应用，将其作为优化教学内容、改进教学方法、调整资源配置的核心依据，推动教学质量持续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四、引导教师潜心育人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color w:val="auto"/>
          <w:sz w:val="32"/>
          <w:szCs w:val="32"/>
        </w:rPr>
        <w:t>12.以教育家精神铸魂强师。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坚持将教育家精神培育涵养，融入教师培养、培训与发展。坚持将教育家精神弘扬践行，贯穿教师课堂教学、企业实践、科技创新等各环节。切实增强教师对职业教育的认同感、使命感和荣誉感，增强教师对学生的责任心、同理心和仁爱心。加强教师队伍思想政治工作和党组织建设，发挥党员教师先锋模范和表率作用。选树宣传职业教育优秀教师典型，营造尊师重教、潜心育人良好风尚。坚持师德师风第一标准，健全长效机制，对师德违规行为“零容忍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color w:val="auto"/>
          <w:sz w:val="32"/>
          <w:szCs w:val="32"/>
        </w:rPr>
        <w:t>13.系统推进教师能力建设。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将教师专业能力与教学能力培养贯穿教师职业生涯全过程，全面提升教师教书育人能力与水平。深入实施职业院校教师素质提高行动计划，职业教育“三名”（名师名匠名校长）培养计划。加强校级教师发展中心建设，推动教师培训常态化制度化，重点面向新入职教师和青年教师，开展岗前和岗位培训。加强人工智能技术应用培训，提升教师数字素养。遴选建设教师企业实践基地。认真落实专业教师赴企业实践锻炼制度，明确实践锻炼的内容和任务，强化过程指导与结果考核。持续推进</w:t>
      </w:r>
      <w:bookmarkStart w:id="5" w:name="OLE_LINK5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“双师型”教师统一规范认定</w:t>
      </w:r>
      <w:bookmarkEnd w:id="5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。加大行业企业能工名匠、技术骨干招聘引进力度，推进校企互聘兼职教师队伍建设改革。探索“教师教学档案袋”制度改革，建立教师成长数据库。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color w:val="auto"/>
          <w:sz w:val="32"/>
          <w:szCs w:val="32"/>
        </w:rPr>
        <w:t>14.健全教师评价激励机制。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加大教育教学业绩在绩效分配、职务职称评聘、岗位晋级考核中的比重，引导教师将工作精力聚焦到教书育人上来。督促学校严格落实教师年度教学质量考核制度，通过学生、同行、督导评教等方式，对任课教师一年的教学质量进行综合性评价，原则上优秀率不高于任课教师总数的30%。教师日常指导学生社团活动、实习实训、创新创业、开展各类职业技能赛事及“传帮带”等工作与成效，应纳入工作总量考核，并合理确定绩效工资。鼓励学校为长期从事教学工作的教师设立荣誉证书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五、提升教学管理服务水平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color w:val="auto"/>
          <w:sz w:val="32"/>
          <w:szCs w:val="32"/>
        </w:rPr>
        <w:t>15.强化日常教学管理。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把规范意识、质量意识落实到日常教学管理全过程，内化为师生的价值追求与自觉行动。推动学校建立健全以人才培养方案管理为基础，涵盖课程教学标准、教学进程管理、课堂教学规范、教学督导与质量诊改等内容的教学管理制度体系。严格执行教学进程和巡课制度，压实教师课堂管理主体责任，限定教师调课、停课次数，严禁私自调课、停课、换课。稳妥做好课堂内手机及其它电子产品的使用管理。加强考试管理，严肃考试纪律，探索教考分离，坚决取消毕业前补考等“清考”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color w:val="auto"/>
          <w:sz w:val="32"/>
          <w:szCs w:val="32"/>
        </w:rPr>
        <w:t>16.规范实习实训管理。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落实《职业学校学生实习管理规定》，守牢“1个严禁”、“27个不得”的底线红线，坚决纠治实习内容专业不对口、强制实习、收费实习、简单重复劳动、较高风险实习、较高强度实习、中介机构参与、违规安排加班和夜班等问题。稳步提高学校推荐实习的学生比例。构建覆盖实习实训单位遴选、合作协议签订、过程动态记录、考核评价等环节的数智化管理体系。完善教师和专门人员全程指导学生实习制度。建立健全实习实训安全风险预警、隐患排查和应急处置机制，定期开展安全培训和应急演练，保障学生权益与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color w:val="auto"/>
          <w:sz w:val="32"/>
          <w:szCs w:val="32"/>
        </w:rPr>
        <w:t>17.加强教学管理服务队伍建设。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将教学管理队伍建设摆在与专任教师队伍建设同等重要位置。科学配置专职教学管理人员。明确各级各类教学管理岗位能力标准，实施覆盖岗前培训、在岗研修、专项提升的全周期培养培训计划。畅通教学管理队伍职业发展通道，为其岗位评聘、职级晋升等提供有利政策环境，吸引优秀人才充实到教学管理队伍中来。健全以工作实绩和管理服务成效为导向的考核评价与激励机制，增强教学管理岗位吸引力和队伍稳定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六、强化教学工作的领导和保障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color w:val="auto"/>
          <w:sz w:val="32"/>
          <w:szCs w:val="32"/>
        </w:rPr>
        <w:t>18.加强党的全面领导。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坚持把党的领导贯穿教育教学全过程、各环节，牢牢把握社会主义办学方向。健全党组织统一领导、党政齐抓共管、部门各负其责、全员协同推进的教学工作领导体制。制定地方和学校教学质量提升实施方案，定期研究、持续推进。完善并严格执行领导干部常态化深入教学一线制度，及时协调解决教学质量提升中的堵点难点。创新校企党组织联建机制，推动党支部建在专业群、教学团队和实训基地上，将组织优势转化为提升教学质量的强大动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color w:val="auto"/>
          <w:sz w:val="32"/>
          <w:szCs w:val="32"/>
        </w:rPr>
        <w:t>19.强化教科研支撑。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充分发挥教科研对提升教学质量的基础性、引领性支撑作用。加强行指委、教指委建设，着力构建省市校纵向贯通，政行企校横向协同的教科研体系。支持校企、校地、校校联合组建教科研协同创新中心。加快推进基层教科研组织建设。完善常态化教科研机制，设立“教学质量提升”专项课题，创建教学创新实验基地。建立健全科研教研成果转化机制，推动优秀成果转化为教学实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color w:val="auto"/>
          <w:sz w:val="32"/>
          <w:szCs w:val="32"/>
        </w:rPr>
        <w:t>20.保障教学经费投入。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把教育资源配置和学校工作重点集中到强化教学环节、提高教育质量上来，建立以提高教育教学质量为导向的管理制度和工作机制。持续优化支出结构，重点向内涵建设扎实、教学质量提升迅速、育人成效显著、服务发展能力突出的院校和环节倾斜。严格项目管理和绩效评价。拓宽社会资源投入渠道，构建多元化、可持续的教学经费保障格局。</w:t>
      </w:r>
    </w:p>
    <w:sectPr>
      <w:footerReference r:id="rId3" w:type="default"/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altName w:val="方正楷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9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0N2QwZmJkNzAxYjIzYmEzZTRmMWExZDM4YWU0N2MifQ=="/>
  </w:docVars>
  <w:rsids>
    <w:rsidRoot w:val="2D3405C1"/>
    <w:rsid w:val="000217AB"/>
    <w:rsid w:val="00023F76"/>
    <w:rsid w:val="00030AC5"/>
    <w:rsid w:val="000364FA"/>
    <w:rsid w:val="00047F03"/>
    <w:rsid w:val="000A1354"/>
    <w:rsid w:val="000A4898"/>
    <w:rsid w:val="000F326E"/>
    <w:rsid w:val="00106CAA"/>
    <w:rsid w:val="001242F5"/>
    <w:rsid w:val="00142B2E"/>
    <w:rsid w:val="00147185"/>
    <w:rsid w:val="00156E64"/>
    <w:rsid w:val="0017489F"/>
    <w:rsid w:val="001A2A4A"/>
    <w:rsid w:val="001B303C"/>
    <w:rsid w:val="001D3B8D"/>
    <w:rsid w:val="001E71E3"/>
    <w:rsid w:val="0021706C"/>
    <w:rsid w:val="00237E3E"/>
    <w:rsid w:val="002665C4"/>
    <w:rsid w:val="0027226C"/>
    <w:rsid w:val="00281066"/>
    <w:rsid w:val="002951A2"/>
    <w:rsid w:val="002A221A"/>
    <w:rsid w:val="002B72D2"/>
    <w:rsid w:val="002C3589"/>
    <w:rsid w:val="002C3ABB"/>
    <w:rsid w:val="002C3B1B"/>
    <w:rsid w:val="002C78D5"/>
    <w:rsid w:val="00301758"/>
    <w:rsid w:val="00324544"/>
    <w:rsid w:val="00345D65"/>
    <w:rsid w:val="003536F4"/>
    <w:rsid w:val="003562D0"/>
    <w:rsid w:val="00364FA4"/>
    <w:rsid w:val="003A076A"/>
    <w:rsid w:val="003B5E34"/>
    <w:rsid w:val="003D2A01"/>
    <w:rsid w:val="00414476"/>
    <w:rsid w:val="00453BF4"/>
    <w:rsid w:val="004572C1"/>
    <w:rsid w:val="0046041C"/>
    <w:rsid w:val="004620CE"/>
    <w:rsid w:val="00464937"/>
    <w:rsid w:val="00480574"/>
    <w:rsid w:val="004C0178"/>
    <w:rsid w:val="004C023B"/>
    <w:rsid w:val="004E3821"/>
    <w:rsid w:val="004F129C"/>
    <w:rsid w:val="004F4EF8"/>
    <w:rsid w:val="00502FEF"/>
    <w:rsid w:val="00503447"/>
    <w:rsid w:val="00504AB1"/>
    <w:rsid w:val="005059CE"/>
    <w:rsid w:val="005164B7"/>
    <w:rsid w:val="00522E48"/>
    <w:rsid w:val="00523E1B"/>
    <w:rsid w:val="00525DA9"/>
    <w:rsid w:val="00531696"/>
    <w:rsid w:val="005528AD"/>
    <w:rsid w:val="005610D6"/>
    <w:rsid w:val="005662DD"/>
    <w:rsid w:val="00576995"/>
    <w:rsid w:val="00591363"/>
    <w:rsid w:val="005941FA"/>
    <w:rsid w:val="00595BEC"/>
    <w:rsid w:val="005A3C3C"/>
    <w:rsid w:val="005A3ECB"/>
    <w:rsid w:val="005B0440"/>
    <w:rsid w:val="006132B0"/>
    <w:rsid w:val="00627018"/>
    <w:rsid w:val="0063072C"/>
    <w:rsid w:val="006473EF"/>
    <w:rsid w:val="00666566"/>
    <w:rsid w:val="00681181"/>
    <w:rsid w:val="00683A4E"/>
    <w:rsid w:val="00692920"/>
    <w:rsid w:val="00692ECE"/>
    <w:rsid w:val="006A4E5B"/>
    <w:rsid w:val="007149AB"/>
    <w:rsid w:val="00736163"/>
    <w:rsid w:val="00737D65"/>
    <w:rsid w:val="007406AF"/>
    <w:rsid w:val="00761B4B"/>
    <w:rsid w:val="007775E7"/>
    <w:rsid w:val="00780BBE"/>
    <w:rsid w:val="007827A0"/>
    <w:rsid w:val="00786E6F"/>
    <w:rsid w:val="007A3A5A"/>
    <w:rsid w:val="007B368D"/>
    <w:rsid w:val="007C5FBC"/>
    <w:rsid w:val="007E35CE"/>
    <w:rsid w:val="007E677A"/>
    <w:rsid w:val="00800EAA"/>
    <w:rsid w:val="00804661"/>
    <w:rsid w:val="00827BFC"/>
    <w:rsid w:val="00836A3E"/>
    <w:rsid w:val="0084277E"/>
    <w:rsid w:val="00866390"/>
    <w:rsid w:val="0086791E"/>
    <w:rsid w:val="00880ACE"/>
    <w:rsid w:val="008A2275"/>
    <w:rsid w:val="008C62B0"/>
    <w:rsid w:val="009123F6"/>
    <w:rsid w:val="009210FA"/>
    <w:rsid w:val="00934D6C"/>
    <w:rsid w:val="0097441C"/>
    <w:rsid w:val="0098733D"/>
    <w:rsid w:val="0099306D"/>
    <w:rsid w:val="009E597D"/>
    <w:rsid w:val="009F206A"/>
    <w:rsid w:val="00A13193"/>
    <w:rsid w:val="00A51163"/>
    <w:rsid w:val="00A806E5"/>
    <w:rsid w:val="00AA6C0E"/>
    <w:rsid w:val="00AA7C04"/>
    <w:rsid w:val="00AB506C"/>
    <w:rsid w:val="00AB5614"/>
    <w:rsid w:val="00AD1745"/>
    <w:rsid w:val="00AD53D1"/>
    <w:rsid w:val="00B003DE"/>
    <w:rsid w:val="00B15310"/>
    <w:rsid w:val="00B1645A"/>
    <w:rsid w:val="00B232FE"/>
    <w:rsid w:val="00B35BED"/>
    <w:rsid w:val="00BE56AE"/>
    <w:rsid w:val="00BF43E7"/>
    <w:rsid w:val="00C02D1C"/>
    <w:rsid w:val="00C207B5"/>
    <w:rsid w:val="00C2316A"/>
    <w:rsid w:val="00C32EEC"/>
    <w:rsid w:val="00C36C58"/>
    <w:rsid w:val="00C5781B"/>
    <w:rsid w:val="00C606BC"/>
    <w:rsid w:val="00C72845"/>
    <w:rsid w:val="00C8576A"/>
    <w:rsid w:val="00CC1F93"/>
    <w:rsid w:val="00CD64C9"/>
    <w:rsid w:val="00D1252E"/>
    <w:rsid w:val="00D12AE8"/>
    <w:rsid w:val="00D55E7C"/>
    <w:rsid w:val="00D6408C"/>
    <w:rsid w:val="00D65350"/>
    <w:rsid w:val="00D7580E"/>
    <w:rsid w:val="00D763EA"/>
    <w:rsid w:val="00D97DF2"/>
    <w:rsid w:val="00DD6680"/>
    <w:rsid w:val="00DD71B7"/>
    <w:rsid w:val="00DD7690"/>
    <w:rsid w:val="00DF5419"/>
    <w:rsid w:val="00E34A91"/>
    <w:rsid w:val="00E77926"/>
    <w:rsid w:val="00E80739"/>
    <w:rsid w:val="00EE0DD3"/>
    <w:rsid w:val="00EE29CB"/>
    <w:rsid w:val="00F00AAB"/>
    <w:rsid w:val="00F068BF"/>
    <w:rsid w:val="00F11EDD"/>
    <w:rsid w:val="00F53A63"/>
    <w:rsid w:val="00F55C26"/>
    <w:rsid w:val="00F652FE"/>
    <w:rsid w:val="00F72043"/>
    <w:rsid w:val="00FE606C"/>
    <w:rsid w:val="02646D86"/>
    <w:rsid w:val="0AEC73E5"/>
    <w:rsid w:val="0F920460"/>
    <w:rsid w:val="0F9239A0"/>
    <w:rsid w:val="12C433BC"/>
    <w:rsid w:val="131B53CF"/>
    <w:rsid w:val="152E4A94"/>
    <w:rsid w:val="155B4405"/>
    <w:rsid w:val="15C3305B"/>
    <w:rsid w:val="171A0FC0"/>
    <w:rsid w:val="19B23B50"/>
    <w:rsid w:val="19C144E1"/>
    <w:rsid w:val="1D34118E"/>
    <w:rsid w:val="1DD12460"/>
    <w:rsid w:val="1EAE7634"/>
    <w:rsid w:val="205A4DF5"/>
    <w:rsid w:val="274C6FFB"/>
    <w:rsid w:val="2BDD1943"/>
    <w:rsid w:val="2D3405C1"/>
    <w:rsid w:val="30180D64"/>
    <w:rsid w:val="36ED2AFD"/>
    <w:rsid w:val="378C12B0"/>
    <w:rsid w:val="39B337F4"/>
    <w:rsid w:val="3E366485"/>
    <w:rsid w:val="427B37D6"/>
    <w:rsid w:val="44043360"/>
    <w:rsid w:val="47D677D8"/>
    <w:rsid w:val="4BB35DF1"/>
    <w:rsid w:val="4E7952D0"/>
    <w:rsid w:val="51162833"/>
    <w:rsid w:val="55161D54"/>
    <w:rsid w:val="56901356"/>
    <w:rsid w:val="56981DFD"/>
    <w:rsid w:val="5AB3663A"/>
    <w:rsid w:val="5F387AD6"/>
    <w:rsid w:val="5FE349C2"/>
    <w:rsid w:val="623216FF"/>
    <w:rsid w:val="6399514E"/>
    <w:rsid w:val="65143D7B"/>
    <w:rsid w:val="66890422"/>
    <w:rsid w:val="6BC9458D"/>
    <w:rsid w:val="72780E6B"/>
    <w:rsid w:val="796B1F6D"/>
    <w:rsid w:val="79883465"/>
    <w:rsid w:val="79DD640F"/>
    <w:rsid w:val="7C0537C2"/>
    <w:rsid w:val="7CFE8919"/>
    <w:rsid w:val="7DD1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1 字符"/>
    <w:basedOn w:val="7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0">
    <w:name w:val="批注框文本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江苏省教育厅</Company>
  <Pages>9</Pages>
  <Words>4788</Words>
  <Characters>4842</Characters>
  <Lines>34</Lines>
  <Paragraphs>9</Paragraphs>
  <TotalTime>3435</TotalTime>
  <ScaleCrop>false</ScaleCrop>
  <LinksUpToDate>false</LinksUpToDate>
  <CharactersWithSpaces>4846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2025-12-03T20:55:00Z</dcterms:created>
  <dc:creator>雷吉纳</dc:creator>
  <cp:lastModifiedBy>uos</cp:lastModifiedBy>
  <cp:lastPrinted>2025-12-02T14:39:00Z</cp:lastPrinted>
  <dcterms:modified xsi:type="dcterms:W3CDTF">2026-01-14T08:20:04Z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46CE3F315B04499A9EC9895FC9B2CEE7_13</vt:lpwstr>
  </property>
  <property fmtid="{D5CDD505-2E9C-101B-9397-08002B2CF9AE}" pid="4" name="KSOTemplateDocerSaveRecord">
    <vt:lpwstr>eyJoZGlkIjoiOTk1OWJiYzFhNzZiOTIxZGQyMWY0YmM3YzcxMDY5OWUiLCJ1c2VySWQiOiI1NDUyODg3ODYifQ==</vt:lpwstr>
  </property>
</Properties>
</file>